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39AE73B1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E54865" w:rsidRPr="00E54865">
        <w:rPr>
          <w:rFonts w:ascii="Calibri" w:hAnsi="Calibri"/>
          <w:color w:val="00558C"/>
          <w:sz w:val="24"/>
          <w:szCs w:val="24"/>
        </w:rPr>
        <w:t>ENG15-12.0.1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50E89CF7" w:rsidR="0080294B" w:rsidRPr="00B0084A" w:rsidRDefault="003E2996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298217E7" w:rsidR="0080294B" w:rsidRPr="00B0084A" w:rsidRDefault="003E2996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14D56F5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9F2385">
        <w:rPr>
          <w:rFonts w:ascii="Calibri" w:hAnsi="Calibri"/>
        </w:rPr>
        <w:t>Sustainability</w:t>
      </w:r>
    </w:p>
    <w:p w14:paraId="01FC5420" w14:textId="04E6E2F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F2385">
        <w:rPr>
          <w:rFonts w:ascii="Calibri" w:hAnsi="Calibri"/>
        </w:rPr>
        <w:t>Simon Millyard. ENG Chairman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37D91EF2" w:rsidR="00A446C9" w:rsidRPr="00605E43" w:rsidRDefault="009F2385" w:rsidP="0035243F">
      <w:pPr>
        <w:pStyle w:val="Title"/>
      </w:pPr>
      <w:r>
        <w:t>Workshop on Sustainability in AtoN provision</w:t>
      </w:r>
    </w:p>
    <w:p w14:paraId="2CC2DB54" w14:textId="77E7A2DE" w:rsidR="009874F9" w:rsidRPr="009874F9" w:rsidRDefault="00A446C9" w:rsidP="009874F9">
      <w:pPr>
        <w:pStyle w:val="Heading1"/>
      </w:pPr>
      <w:r w:rsidRPr="00B661C7">
        <w:t>Summary</w:t>
      </w:r>
      <w:r w:rsidR="009F2385">
        <w:t xml:space="preserve"> </w:t>
      </w:r>
    </w:p>
    <w:p w14:paraId="5432CFB6" w14:textId="03E686A6" w:rsidR="00B56BDF" w:rsidRPr="007A395D" w:rsidRDefault="009F2385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At PAP44 an input paper from ENG14 on the topic of sustainability was discussed. PAP44 requested that a workshop on Sustainability was considered. At ENG15, a drafting group composed a workshop proposal to be presented to Council for approval.</w:t>
      </w:r>
      <w:r w:rsidR="00C23CA0">
        <w:rPr>
          <w:rFonts w:ascii="Calibri" w:hAnsi="Calibri"/>
        </w:rPr>
        <w:t xml:space="preserve"> The proposal is for the workshop to be in November 2023 and held as a hybrid attendance based at IALA HQ.</w:t>
      </w:r>
    </w:p>
    <w:p w14:paraId="3C575A26" w14:textId="3C15B222" w:rsidR="001C44A3" w:rsidRPr="00605E43" w:rsidRDefault="009F2385" w:rsidP="00605E43">
      <w:pPr>
        <w:pStyle w:val="Heading2"/>
      </w:pPr>
      <w:r>
        <w:t>Request for committee members to join the steering committee</w:t>
      </w:r>
    </w:p>
    <w:p w14:paraId="7E2A4642" w14:textId="3D999DD4" w:rsidR="00E55927" w:rsidRPr="007A395D" w:rsidRDefault="009F238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input paper is to advise all committees of the workshop proposal and to seek a representative from each </w:t>
      </w:r>
      <w:r w:rsidR="00C23CA0">
        <w:rPr>
          <w:rFonts w:ascii="Calibri" w:hAnsi="Calibri"/>
        </w:rPr>
        <w:t xml:space="preserve">technical </w:t>
      </w:r>
      <w:r>
        <w:rPr>
          <w:rFonts w:ascii="Calibri" w:hAnsi="Calibri"/>
        </w:rPr>
        <w:t>committee to join the Steering Committee to develop this workshop</w:t>
      </w:r>
      <w:r w:rsidR="00C23CA0">
        <w:rPr>
          <w:rFonts w:ascii="Calibri" w:hAnsi="Calibri"/>
        </w:rPr>
        <w:t xml:space="preserve"> as this topic crosses all boundaries.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B62DBEA" w:rsidR="00E55927" w:rsidRDefault="009F238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ENG15 output to Council – Proposal for a workshop on “Sustainability in AtoN provision”</w:t>
      </w:r>
      <w:r w:rsidR="00C23CA0">
        <w:rPr>
          <w:rFonts w:ascii="Calibri" w:hAnsi="Calibri"/>
        </w:rPr>
        <w:t>.</w:t>
      </w:r>
    </w:p>
    <w:p w14:paraId="03104698" w14:textId="4567EBB3" w:rsidR="00C23CA0" w:rsidRPr="0035243F" w:rsidRDefault="00C23CA0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For ease of reading, the text of the workshop proposal is included in this Liaison note as appendix 1.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3771E89" w14:textId="77777777" w:rsidR="009F2385" w:rsidRDefault="00F25BF4" w:rsidP="009F2385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087908EA" w14:textId="62A48353" w:rsidR="009F2385" w:rsidRDefault="009F2385" w:rsidP="009F2385">
      <w:pPr>
        <w:pStyle w:val="BodyText"/>
        <w:numPr>
          <w:ilvl w:val="0"/>
          <w:numId w:val="74"/>
        </w:numPr>
      </w:pPr>
      <w:r>
        <w:t xml:space="preserve">Note the </w:t>
      </w:r>
      <w:r w:rsidR="00C23CA0">
        <w:t>proposal</w:t>
      </w:r>
      <w:r>
        <w:t xml:space="preserve"> of </w:t>
      </w:r>
      <w:r w:rsidR="00C23CA0">
        <w:t>a</w:t>
      </w:r>
      <w:r>
        <w:t xml:space="preserve"> workshop on Sustainability </w:t>
      </w:r>
      <w:r w:rsidR="00C23CA0">
        <w:t>in the P</w:t>
      </w:r>
      <w:r>
        <w:t>rovision on AtoN</w:t>
      </w:r>
    </w:p>
    <w:p w14:paraId="6841229E" w14:textId="52201FCE" w:rsidR="009F2385" w:rsidRDefault="009F2385" w:rsidP="009F2385">
      <w:pPr>
        <w:pStyle w:val="BodyText"/>
        <w:numPr>
          <w:ilvl w:val="0"/>
          <w:numId w:val="74"/>
        </w:numPr>
      </w:pPr>
      <w:r>
        <w:t>Nominate a committee member to join the Steering Committee to support the development of this workshop.</w:t>
      </w:r>
    </w:p>
    <w:p w14:paraId="6B1E24A2" w14:textId="77777777" w:rsidR="009F2385" w:rsidRPr="009F2385" w:rsidRDefault="009F2385" w:rsidP="009F2385">
      <w:pPr>
        <w:pStyle w:val="List1"/>
        <w:numPr>
          <w:ilvl w:val="0"/>
          <w:numId w:val="74"/>
        </w:numPr>
        <w:sectPr w:rsidR="009F2385" w:rsidRPr="009F2385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</w:p>
    <w:p w14:paraId="16AE6650" w14:textId="37DEB9A5" w:rsidR="004D1D85" w:rsidRDefault="00C23CA0" w:rsidP="009F2385">
      <w:pPr>
        <w:pStyle w:val="Appendix"/>
        <w:numPr>
          <w:ilvl w:val="0"/>
          <w:numId w:val="0"/>
        </w:numPr>
      </w:pPr>
      <w:r>
        <w:lastRenderedPageBreak/>
        <w:t>Appendix 1</w:t>
      </w:r>
    </w:p>
    <w:p w14:paraId="0DC65AD0" w14:textId="77777777" w:rsidR="00C23CA0" w:rsidRPr="00D8733D" w:rsidRDefault="00C23CA0" w:rsidP="00C23CA0">
      <w:pPr>
        <w:spacing w:after="120"/>
        <w:jc w:val="center"/>
        <w:rPr>
          <w:rFonts w:ascii="Calibri" w:hAnsi="Calibri"/>
          <w:b/>
          <w:smallCaps/>
          <w:sz w:val="28"/>
          <w:u w:val="single"/>
        </w:rPr>
      </w:pPr>
      <w:r w:rsidRPr="00D8733D">
        <w:rPr>
          <w:rFonts w:ascii="Calibri" w:hAnsi="Calibri"/>
          <w:b/>
          <w:smallCaps/>
          <w:sz w:val="28"/>
          <w:u w:val="single"/>
        </w:rPr>
        <w:t>Workshop Proposal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221"/>
      </w:tblGrid>
      <w:tr w:rsidR="00C23CA0" w:rsidRPr="00D8733D" w14:paraId="12589584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0D969AC8" w14:textId="77777777" w:rsidR="00C23CA0" w:rsidRPr="00D8733D" w:rsidRDefault="00C23CA0" w:rsidP="001A39FC">
            <w:p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Vision</w:t>
            </w:r>
          </w:p>
        </w:tc>
        <w:tc>
          <w:tcPr>
            <w:tcW w:w="8221" w:type="dxa"/>
            <w:vAlign w:val="center"/>
          </w:tcPr>
          <w:p w14:paraId="65BCAD7E" w14:textId="77777777" w:rsidR="00C23CA0" w:rsidRPr="000560C2" w:rsidRDefault="00C23CA0" w:rsidP="001A39FC">
            <w:pPr>
              <w:rPr>
                <w:rFonts w:ascii="Calibri" w:hAnsi="Calibri"/>
              </w:rPr>
            </w:pPr>
            <w:r w:rsidRPr="000560C2">
              <w:rPr>
                <w:rFonts w:ascii="Calibri" w:hAnsi="Calibri"/>
              </w:rPr>
              <w:t>Sustainability in AtoN provision</w:t>
            </w:r>
          </w:p>
        </w:tc>
      </w:tr>
      <w:tr w:rsidR="00C23CA0" w:rsidRPr="00D8733D" w14:paraId="66FD8D2C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6B6C9B27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Proposal</w:t>
            </w:r>
          </w:p>
        </w:tc>
        <w:tc>
          <w:tcPr>
            <w:tcW w:w="8221" w:type="dxa"/>
            <w:vAlign w:val="center"/>
          </w:tcPr>
          <w:p w14:paraId="40891BD5" w14:textId="77777777" w:rsidR="00C23CA0" w:rsidRPr="00430C86" w:rsidRDefault="00C23CA0" w:rsidP="001A39FC">
            <w:pPr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</w:rPr>
              <w:t>Workshop to explore ways that support AtoN providers to minimize their impact on the environment</w:t>
            </w:r>
          </w:p>
        </w:tc>
      </w:tr>
      <w:tr w:rsidR="00C23CA0" w:rsidRPr="00D8733D" w14:paraId="327D7332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281DC62D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Purpose</w:t>
            </w:r>
          </w:p>
        </w:tc>
        <w:tc>
          <w:tcPr>
            <w:tcW w:w="8221" w:type="dxa"/>
            <w:vAlign w:val="center"/>
          </w:tcPr>
          <w:p w14:paraId="1948631F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Develop guidance on assessing the environmental impact over the life cycle of AtoN </w:t>
            </w:r>
          </w:p>
          <w:p w14:paraId="090F6DA3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Proposals</w:t>
            </w:r>
            <w:r w:rsidRPr="0056401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for </w:t>
            </w:r>
            <w:r w:rsidRPr="0056401B">
              <w:rPr>
                <w:rFonts w:ascii="Calibri" w:hAnsi="Calibri"/>
              </w:rPr>
              <w:t>environ</w:t>
            </w:r>
            <w:r>
              <w:rPr>
                <w:rFonts w:ascii="Calibri" w:hAnsi="Calibri"/>
              </w:rPr>
              <w:t>mentally friendly AtoN systems;</w:t>
            </w:r>
          </w:p>
          <w:p w14:paraId="2FEDC3BB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Knowledge sharing </w:t>
            </w:r>
            <w:r>
              <w:rPr>
                <w:rFonts w:ascii="Calibri" w:hAnsi="Calibri"/>
              </w:rPr>
              <w:t>in sustainable development;</w:t>
            </w:r>
          </w:p>
          <w:p w14:paraId="4F7ABBA4" w14:textId="77777777" w:rsidR="00C23CA0" w:rsidRPr="007945F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Examples and promotion</w:t>
            </w:r>
            <w:r w:rsidRPr="00D8733D">
              <w:rPr>
                <w:rFonts w:ascii="Calibri" w:hAnsi="Calibri"/>
              </w:rPr>
              <w:t xml:space="preserve"> of sustainable power systems</w:t>
            </w:r>
            <w:r>
              <w:rPr>
                <w:rFonts w:ascii="Calibri" w:hAnsi="Calibri"/>
              </w:rPr>
              <w:t>;</w:t>
            </w:r>
          </w:p>
        </w:tc>
      </w:tr>
      <w:tr w:rsidR="00C23CA0" w:rsidRPr="00D8733D" w14:paraId="078B2455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11B91F3B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Possible Topics</w:t>
            </w:r>
          </w:p>
        </w:tc>
        <w:tc>
          <w:tcPr>
            <w:tcW w:w="8221" w:type="dxa"/>
            <w:vAlign w:val="center"/>
          </w:tcPr>
          <w:p w14:paraId="05EFDAA7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Through-life environmental impact of AtoN components </w:t>
            </w:r>
          </w:p>
          <w:p w14:paraId="5DA3DF54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life cycle of an AtoN</w:t>
            </w:r>
          </w:p>
          <w:p w14:paraId="72BB8F3A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 risking existing installations for environmental impact</w:t>
            </w:r>
          </w:p>
          <w:p w14:paraId="20728BA0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impact of AtoN provision on the environment</w:t>
            </w:r>
          </w:p>
          <w:p w14:paraId="65632DCC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Renewable energy &amp; storage developments</w:t>
            </w:r>
          </w:p>
          <w:p w14:paraId="28E0DF8D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Green IT solutions (data storage, VTS)</w:t>
            </w:r>
          </w:p>
          <w:p w14:paraId="55ECE20A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Energy saving components of AtoN (lights, RTU, PSUs  etc)</w:t>
            </w:r>
          </w:p>
          <w:p w14:paraId="7BA86DD9" w14:textId="77777777" w:rsidR="00C23CA0" w:rsidRPr="001D03EB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Putting cost in its place when selecting AtoN (sustainability in procurement)</w:t>
            </w:r>
          </w:p>
        </w:tc>
      </w:tr>
      <w:tr w:rsidR="00C23CA0" w:rsidRPr="00D8733D" w14:paraId="0FB62DFD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7FFD862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Outcomes</w:t>
            </w:r>
          </w:p>
        </w:tc>
        <w:tc>
          <w:tcPr>
            <w:tcW w:w="8221" w:type="dxa"/>
            <w:vAlign w:val="center"/>
          </w:tcPr>
          <w:p w14:paraId="3C1065A1" w14:textId="77777777" w:rsidR="00C23CA0" w:rsidRPr="00280AD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Draft guideline on assessing the environmental impact over the life cycle of AtoN </w:t>
            </w:r>
          </w:p>
          <w:p w14:paraId="5C1794D9" w14:textId="77777777" w:rsidR="00C23CA0" w:rsidRPr="00280AD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Update of Guideline G1036 – Environmental Management</w:t>
            </w:r>
          </w:p>
        </w:tc>
      </w:tr>
      <w:tr w:rsidR="00C23CA0" w:rsidRPr="00D8733D" w14:paraId="5D618270" w14:textId="77777777" w:rsidTr="001A39FC">
        <w:trPr>
          <w:trHeight w:val="1094"/>
        </w:trPr>
        <w:tc>
          <w:tcPr>
            <w:tcW w:w="1526" w:type="dxa"/>
            <w:vAlign w:val="center"/>
          </w:tcPr>
          <w:p w14:paraId="5B0EFEA0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Goals</w:t>
            </w:r>
          </w:p>
        </w:tc>
        <w:tc>
          <w:tcPr>
            <w:tcW w:w="8221" w:type="dxa"/>
            <w:vAlign w:val="center"/>
          </w:tcPr>
          <w:p w14:paraId="694B3769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Promote awareness of total life cycle environmental impact</w:t>
            </w:r>
          </w:p>
          <w:p w14:paraId="05999795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Promote the use of renewable energy in AtoN provision</w:t>
            </w:r>
          </w:p>
          <w:p w14:paraId="7058D9D6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B2351D">
              <w:rPr>
                <w:rFonts w:ascii="Calibri" w:hAnsi="Calibri"/>
              </w:rPr>
              <w:t>Sharing operational experiences</w:t>
            </w:r>
          </w:p>
          <w:p w14:paraId="1BA9D51D" w14:textId="77777777" w:rsidR="00C23CA0" w:rsidRPr="00B2351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Promoting sustainability in procurement</w:t>
            </w:r>
          </w:p>
        </w:tc>
      </w:tr>
      <w:tr w:rsidR="00C23CA0" w:rsidRPr="00D8733D" w14:paraId="4B40F19F" w14:textId="77777777" w:rsidTr="001A39FC">
        <w:trPr>
          <w:trHeight w:val="1223"/>
        </w:trPr>
        <w:tc>
          <w:tcPr>
            <w:tcW w:w="1526" w:type="dxa"/>
            <w:vAlign w:val="center"/>
          </w:tcPr>
          <w:p w14:paraId="00D5F8C7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Who</w:t>
            </w:r>
          </w:p>
        </w:tc>
        <w:tc>
          <w:tcPr>
            <w:tcW w:w="8221" w:type="dxa"/>
            <w:vAlign w:val="center"/>
          </w:tcPr>
          <w:p w14:paraId="2BB5A7F6" w14:textId="77777777" w:rsidR="00C23CA0" w:rsidRDefault="00C23CA0" w:rsidP="001A39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This is a cross committee topic and interest is expected from all IALA committees. </w:t>
            </w:r>
          </w:p>
          <w:p w14:paraId="72F94EA6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It is envisaged that invitations will be sent to:</w:t>
            </w:r>
          </w:p>
          <w:p w14:paraId="614B2A2E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National </w:t>
            </w:r>
            <w:r>
              <w:rPr>
                <w:rFonts w:ascii="Calibri" w:hAnsi="Calibri"/>
              </w:rPr>
              <w:t>m</w:t>
            </w:r>
            <w:r w:rsidRPr="00D8733D">
              <w:rPr>
                <w:rFonts w:ascii="Calibri" w:hAnsi="Calibri"/>
              </w:rPr>
              <w:t>embers</w:t>
            </w:r>
          </w:p>
          <w:p w14:paraId="1B9E104A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Industrial </w:t>
            </w:r>
            <w:r>
              <w:rPr>
                <w:rFonts w:ascii="Calibri" w:hAnsi="Calibri"/>
              </w:rPr>
              <w:t>m</w:t>
            </w:r>
            <w:r w:rsidRPr="00D8733D">
              <w:rPr>
                <w:rFonts w:ascii="Calibri" w:hAnsi="Calibri"/>
              </w:rPr>
              <w:t>embers</w:t>
            </w:r>
          </w:p>
          <w:p w14:paraId="19E397BD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Other stakeholders as identified by the steering group</w:t>
            </w:r>
          </w:p>
        </w:tc>
      </w:tr>
      <w:tr w:rsidR="00C23CA0" w:rsidRPr="00D8733D" w14:paraId="5AFA4673" w14:textId="77777777" w:rsidTr="001A39FC">
        <w:trPr>
          <w:trHeight w:val="468"/>
        </w:trPr>
        <w:tc>
          <w:tcPr>
            <w:tcW w:w="1526" w:type="dxa"/>
            <w:vAlign w:val="center"/>
          </w:tcPr>
          <w:p w14:paraId="158230F0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Size of Group</w:t>
            </w:r>
          </w:p>
        </w:tc>
        <w:tc>
          <w:tcPr>
            <w:tcW w:w="8221" w:type="dxa"/>
            <w:vAlign w:val="center"/>
          </w:tcPr>
          <w:p w14:paraId="3E9C284D" w14:textId="77777777" w:rsidR="00C23CA0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It is expected that the </w:t>
            </w:r>
            <w:r>
              <w:rPr>
                <w:rFonts w:ascii="Calibri" w:hAnsi="Calibri"/>
              </w:rPr>
              <w:t>w</w:t>
            </w:r>
            <w:r w:rsidRPr="00D8733D">
              <w:rPr>
                <w:rFonts w:ascii="Calibri" w:hAnsi="Calibri"/>
              </w:rPr>
              <w:t xml:space="preserve">orkshop will attract a group of up to </w:t>
            </w:r>
            <w:r>
              <w:rPr>
                <w:rFonts w:ascii="Calibri" w:hAnsi="Calibri"/>
              </w:rPr>
              <w:t>60</w:t>
            </w:r>
            <w:r w:rsidRPr="00D8733D">
              <w:rPr>
                <w:rFonts w:ascii="Calibri" w:hAnsi="Calibri"/>
              </w:rPr>
              <w:t xml:space="preserve"> persons</w:t>
            </w:r>
            <w:r>
              <w:rPr>
                <w:rFonts w:ascii="Calibri" w:hAnsi="Calibri"/>
              </w:rPr>
              <w:t xml:space="preserve"> at IALA</w:t>
            </w:r>
          </w:p>
          <w:p w14:paraId="07C2E5E5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meeting will be hybrid to enable a wider attendance and to reduce travelling impact</w:t>
            </w:r>
          </w:p>
        </w:tc>
      </w:tr>
      <w:tr w:rsidR="00C23CA0" w:rsidRPr="00D8733D" w14:paraId="39B50D5C" w14:textId="77777777" w:rsidTr="001A39FC">
        <w:trPr>
          <w:trHeight w:val="305"/>
        </w:trPr>
        <w:tc>
          <w:tcPr>
            <w:tcW w:w="1526" w:type="dxa"/>
            <w:vAlign w:val="center"/>
          </w:tcPr>
          <w:p w14:paraId="4E6D95D3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Where</w:t>
            </w:r>
          </w:p>
        </w:tc>
        <w:tc>
          <w:tcPr>
            <w:tcW w:w="8221" w:type="dxa"/>
            <w:vAlign w:val="center"/>
          </w:tcPr>
          <w:p w14:paraId="5D1996A5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Proposed location: </w:t>
            </w:r>
            <w:r>
              <w:rPr>
                <w:rFonts w:ascii="Calibri" w:hAnsi="Calibri"/>
              </w:rPr>
              <w:t xml:space="preserve">IALA HQ at St Germain </w:t>
            </w:r>
            <w:proofErr w:type="spellStart"/>
            <w:r>
              <w:rPr>
                <w:rFonts w:ascii="Calibri" w:hAnsi="Calibri"/>
              </w:rPr>
              <w:t>en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Laye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</w:tr>
      <w:tr w:rsidR="00C23CA0" w:rsidRPr="00D8733D" w14:paraId="31DC58B2" w14:textId="77777777" w:rsidTr="001A39FC">
        <w:trPr>
          <w:trHeight w:val="348"/>
        </w:trPr>
        <w:tc>
          <w:tcPr>
            <w:tcW w:w="1526" w:type="dxa"/>
            <w:vAlign w:val="center"/>
          </w:tcPr>
          <w:p w14:paraId="71CE5EF5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Duration</w:t>
            </w:r>
          </w:p>
        </w:tc>
        <w:tc>
          <w:tcPr>
            <w:tcW w:w="8221" w:type="dxa"/>
            <w:vAlign w:val="center"/>
          </w:tcPr>
          <w:p w14:paraId="151DC35C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Pr="00D8733D">
              <w:rPr>
                <w:rFonts w:ascii="Calibri" w:hAnsi="Calibri"/>
              </w:rPr>
              <w:t xml:space="preserve"> days, to be reviewed following development of the technical programme</w:t>
            </w:r>
          </w:p>
        </w:tc>
      </w:tr>
      <w:tr w:rsidR="00C23CA0" w:rsidRPr="00D8733D" w14:paraId="32AC9C25" w14:textId="77777777" w:rsidTr="001A39FC">
        <w:trPr>
          <w:trHeight w:val="333"/>
        </w:trPr>
        <w:tc>
          <w:tcPr>
            <w:tcW w:w="1526" w:type="dxa"/>
            <w:vAlign w:val="center"/>
          </w:tcPr>
          <w:p w14:paraId="6D4367F2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When</w:t>
            </w:r>
          </w:p>
        </w:tc>
        <w:tc>
          <w:tcPr>
            <w:tcW w:w="8221" w:type="dxa"/>
            <w:vAlign w:val="center"/>
          </w:tcPr>
          <w:p w14:paraId="4DF7B376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November 2023</w:t>
            </w:r>
          </w:p>
        </w:tc>
      </w:tr>
      <w:tr w:rsidR="00C23CA0" w:rsidRPr="00D8733D" w14:paraId="357C73CC" w14:textId="77777777" w:rsidTr="001A39FC">
        <w:tc>
          <w:tcPr>
            <w:tcW w:w="1526" w:type="dxa"/>
            <w:vAlign w:val="center"/>
          </w:tcPr>
          <w:p w14:paraId="22EF0EF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Cost to Participants</w:t>
            </w:r>
          </w:p>
        </w:tc>
        <w:tc>
          <w:tcPr>
            <w:tcW w:w="8221" w:type="dxa"/>
            <w:vAlign w:val="center"/>
          </w:tcPr>
          <w:p w14:paraId="481DACD6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 cover IALA costs</w:t>
            </w:r>
          </w:p>
        </w:tc>
      </w:tr>
      <w:tr w:rsidR="00C23CA0" w:rsidRPr="00D8733D" w14:paraId="081AF059" w14:textId="77777777" w:rsidTr="001A39FC">
        <w:trPr>
          <w:trHeight w:val="1356"/>
        </w:trPr>
        <w:tc>
          <w:tcPr>
            <w:tcW w:w="1526" w:type="dxa"/>
            <w:vAlign w:val="center"/>
          </w:tcPr>
          <w:p w14:paraId="02731BBA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Process</w:t>
            </w:r>
          </w:p>
        </w:tc>
        <w:tc>
          <w:tcPr>
            <w:tcW w:w="8221" w:type="dxa"/>
            <w:vAlign w:val="center"/>
          </w:tcPr>
          <w:p w14:paraId="14FB4E0B" w14:textId="77777777" w:rsidR="00C23CA0" w:rsidRPr="00D8733D" w:rsidRDefault="00C23CA0" w:rsidP="001A39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Three d</w:t>
            </w:r>
            <w:r w:rsidRPr="00D8733D">
              <w:rPr>
                <w:rFonts w:ascii="Calibri" w:hAnsi="Calibri"/>
              </w:rPr>
              <w:t>ay Workshop</w:t>
            </w:r>
          </w:p>
          <w:p w14:paraId="07EDBA91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Day 1 – Introduction, Keynote speech, Presentations (half day)</w:t>
            </w:r>
          </w:p>
          <w:p w14:paraId="461B0A7E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Day 2 – Presentations</w:t>
            </w:r>
          </w:p>
          <w:p w14:paraId="166E57FF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Day 3 – Working groups </w:t>
            </w:r>
          </w:p>
          <w:p w14:paraId="22328B69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</w:t>
            </w:r>
            <w:r>
              <w:rPr>
                <w:rFonts w:ascii="Calibri" w:hAnsi="Calibri"/>
              </w:rPr>
              <w:t>ay 4</w:t>
            </w:r>
            <w:r w:rsidRPr="00D8733D">
              <w:rPr>
                <w:rFonts w:ascii="Calibri" w:hAnsi="Calibri"/>
              </w:rPr>
              <w:t xml:space="preserve"> – Finalize Working Groups and Conclusion (half day)</w:t>
            </w:r>
          </w:p>
        </w:tc>
      </w:tr>
      <w:tr w:rsidR="00C23CA0" w:rsidRPr="00D8733D" w14:paraId="1298BD68" w14:textId="77777777" w:rsidTr="001A39FC">
        <w:trPr>
          <w:trHeight w:val="1178"/>
        </w:trPr>
        <w:tc>
          <w:tcPr>
            <w:tcW w:w="1526" w:type="dxa"/>
            <w:vAlign w:val="center"/>
          </w:tcPr>
          <w:p w14:paraId="0C83387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Steering Committee</w:t>
            </w:r>
          </w:p>
        </w:tc>
        <w:tc>
          <w:tcPr>
            <w:tcW w:w="8221" w:type="dxa"/>
            <w:vAlign w:val="center"/>
          </w:tcPr>
          <w:p w14:paraId="2119CE33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Chairman: IALA ENG Committee Chair</w:t>
            </w:r>
          </w:p>
          <w:p w14:paraId="7608515E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IALA Deputy Secretary General</w:t>
            </w:r>
            <w:r>
              <w:rPr>
                <w:rFonts w:ascii="Calibri" w:hAnsi="Calibri"/>
              </w:rPr>
              <w:t xml:space="preserve"> </w:t>
            </w:r>
          </w:p>
          <w:p w14:paraId="382670FE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Technical Operations Manager </w:t>
            </w:r>
          </w:p>
          <w:p w14:paraId="35C9A534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Vice-Chair of ENG Committee</w:t>
            </w:r>
          </w:p>
          <w:p w14:paraId="13D38912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 Working Group 2 Chairs</w:t>
            </w:r>
          </w:p>
          <w:p w14:paraId="353E2E76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Committee Secretary</w:t>
            </w:r>
          </w:p>
          <w:p w14:paraId="2D89442D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ENG committee members with specific interest in sustainability.</w:t>
            </w:r>
          </w:p>
          <w:p w14:paraId="06094DFD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 committee representative</w:t>
            </w:r>
          </w:p>
          <w:p w14:paraId="2E019C02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ENav</w:t>
            </w:r>
            <w:proofErr w:type="spellEnd"/>
            <w:r>
              <w:rPr>
                <w:rFonts w:ascii="Calibri" w:hAnsi="Calibri"/>
              </w:rPr>
              <w:t xml:space="preserve"> committee representative</w:t>
            </w:r>
          </w:p>
          <w:p w14:paraId="0ECABBF1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 committee representative</w:t>
            </w:r>
          </w:p>
        </w:tc>
      </w:tr>
    </w:tbl>
    <w:p w14:paraId="7684C9E7" w14:textId="77777777" w:rsidR="00C23CA0" w:rsidRPr="00C23CA0" w:rsidRDefault="00C23CA0" w:rsidP="00C23CA0">
      <w:pPr>
        <w:pStyle w:val="BodyText"/>
      </w:pPr>
    </w:p>
    <w:sectPr w:rsidR="00C23CA0" w:rsidRPr="00C23CA0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D9218" w14:textId="77777777" w:rsidR="003E2996" w:rsidRDefault="003E2996" w:rsidP="00362CD9">
      <w:r>
        <w:separator/>
      </w:r>
    </w:p>
  </w:endnote>
  <w:endnote w:type="continuationSeparator" w:id="0">
    <w:p w14:paraId="12CAD151" w14:textId="77777777" w:rsidR="003E2996" w:rsidRDefault="003E299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3A27662A" w:rsidR="004533B7" w:rsidRPr="00C907DF" w:rsidRDefault="003E2996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1C5DE6">
      <w:t>Workshop on Sustainability in AtoN provision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C23CA0">
      <w:rPr>
        <w:rStyle w:val="PageNumber"/>
        <w:szCs w:val="15"/>
      </w:rPr>
      <w:t>2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2C823C3C" w:rsidR="00637047" w:rsidRPr="00C907DF" w:rsidRDefault="003E2996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1C5DE6">
      <w:t>Workshop on Sustainability in AtoN provision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C23CA0">
      <w:rPr>
        <w:rStyle w:val="PageNumber"/>
        <w:szCs w:val="15"/>
      </w:rPr>
      <w:t>1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AB46A" w14:textId="77777777" w:rsidR="003E2996" w:rsidRDefault="003E2996" w:rsidP="00362CD9">
      <w:r>
        <w:separator/>
      </w:r>
    </w:p>
  </w:footnote>
  <w:footnote w:type="continuationSeparator" w:id="0">
    <w:p w14:paraId="63A652CF" w14:textId="77777777" w:rsidR="003E2996" w:rsidRDefault="003E2996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D52086"/>
    <w:multiLevelType w:val="hybridMultilevel"/>
    <w:tmpl w:val="5E08A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2"/>
  </w:num>
  <w:num w:numId="5">
    <w:abstractNumId w:val="31"/>
  </w:num>
  <w:num w:numId="6">
    <w:abstractNumId w:val="11"/>
  </w:num>
  <w:num w:numId="7">
    <w:abstractNumId w:val="46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4"/>
  </w:num>
  <w:num w:numId="14">
    <w:abstractNumId w:val="16"/>
  </w:num>
  <w:num w:numId="15">
    <w:abstractNumId w:val="50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40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51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5"/>
  </w:num>
  <w:num w:numId="53">
    <w:abstractNumId w:val="48"/>
  </w:num>
  <w:num w:numId="54">
    <w:abstractNumId w:val="15"/>
  </w:num>
  <w:num w:numId="55">
    <w:abstractNumId w:val="49"/>
  </w:num>
  <w:num w:numId="56">
    <w:abstractNumId w:val="41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7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9"/>
  </w:num>
  <w:num w:numId="75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5DE6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E2996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9F2385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23CA0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4865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77A915-7BDE-4760-977A-50A39C9AB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97E4A-7954-459F-B4E3-ECCCBBC23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1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</cp:revision>
  <dcterms:created xsi:type="dcterms:W3CDTF">2022-03-08T11:32:00Z</dcterms:created>
  <dcterms:modified xsi:type="dcterms:W3CDTF">2022-03-14T09:52:00Z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